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10" w:rsidRPr="00705E10" w:rsidRDefault="00705E10" w:rsidP="00705E10">
      <w:pPr>
        <w:shd w:val="clear" w:color="auto" w:fill="FFFFFF"/>
        <w:spacing w:line="408" w:lineRule="atLeast"/>
        <w:rPr>
          <w:rFonts w:ascii="Arial" w:eastAsia="Times New Roman" w:hAnsi="Arial" w:cs="Arial"/>
          <w:color w:val="152244"/>
          <w:spacing w:val="8"/>
          <w:sz w:val="33"/>
          <w:szCs w:val="33"/>
          <w:lang w:eastAsia="ru-RU"/>
        </w:rPr>
      </w:pPr>
      <w:r w:rsidRPr="00705E10">
        <w:rPr>
          <w:rFonts w:ascii="Arial" w:eastAsia="Times New Roman" w:hAnsi="Arial" w:cs="Arial"/>
          <w:color w:val="152244"/>
          <w:spacing w:val="8"/>
          <w:sz w:val="33"/>
          <w:szCs w:val="33"/>
          <w:lang w:eastAsia="ru-RU"/>
        </w:rPr>
        <w:t>Приказ Минэкономразвития России от 26.11.2015 N 883 "Об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</w:t>
      </w:r>
      <w:proofErr w:type="gramStart"/>
      <w:r w:rsidRPr="00705E10">
        <w:rPr>
          <w:rFonts w:ascii="Arial" w:eastAsia="Times New Roman" w:hAnsi="Arial" w:cs="Arial"/>
          <w:color w:val="152244"/>
          <w:spacing w:val="8"/>
          <w:sz w:val="33"/>
          <w:szCs w:val="33"/>
          <w:lang w:eastAsia="ru-RU"/>
        </w:rPr>
        <w:t>.."</w:t>
      </w:r>
      <w:proofErr w:type="gramEnd"/>
    </w:p>
    <w:p w:rsidR="00705E10" w:rsidRPr="00705E10" w:rsidRDefault="00705E10" w:rsidP="00705E10">
      <w:pPr>
        <w:shd w:val="clear" w:color="auto" w:fill="FFFFFF"/>
        <w:spacing w:after="340" w:line="326" w:lineRule="atLeast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Приказ Минэкономразвития России от 26.11.2015 N 883. Начало действия документа - 01.01.2017 года</w:t>
      </w:r>
    </w:p>
    <w:p w:rsidR="00705E10" w:rsidRPr="00705E10" w:rsidRDefault="005E29DA" w:rsidP="00705E10">
      <w:pPr>
        <w:shd w:val="clear" w:color="auto" w:fill="FFFFFF"/>
        <w:spacing w:before="272" w:after="272" w:line="240" w:lineRule="auto"/>
        <w:rPr>
          <w:rFonts w:ascii="Arial" w:eastAsia="Times New Roman" w:hAnsi="Arial" w:cs="Arial"/>
          <w:color w:val="333333"/>
          <w:spacing w:val="3"/>
          <w:sz w:val="19"/>
          <w:szCs w:val="19"/>
          <w:lang w:eastAsia="ru-RU"/>
        </w:rPr>
      </w:pPr>
      <w:r w:rsidRPr="005E29DA">
        <w:rPr>
          <w:rFonts w:ascii="Arial" w:eastAsia="Times New Roman" w:hAnsi="Arial" w:cs="Arial"/>
          <w:color w:val="333333"/>
          <w:spacing w:val="3"/>
          <w:sz w:val="19"/>
          <w:szCs w:val="19"/>
          <w:lang w:eastAsia="ru-RU"/>
        </w:rPr>
        <w:pict>
          <v:rect id="_x0000_i1025" style="width:0;height:0" o:hralign="center" o:hrstd="t" o:hr="t" fillcolor="#a0a0a0" stroked="f"/>
        </w:pict>
      </w:r>
    </w:p>
    <w:p w:rsidR="00705E10" w:rsidRPr="00705E10" w:rsidRDefault="00705E10" w:rsidP="00705E10">
      <w:pPr>
        <w:shd w:val="clear" w:color="auto" w:fill="FFFFFF"/>
        <w:spacing w:after="340" w:line="326" w:lineRule="atLeast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Зарегистрировано в Минюсте России 18 января 2016 г. N 40613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center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t>МИНИСТЕРСТВО ЭКОНОМИЧЕСКОГО РАЗВИТИЯ РОССИЙСКОЙ ФЕДЕРАЦИИ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center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t>ПРИКАЗ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от 26 ноября 2015 г. N 883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center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t>ОБ УСТАНОВЛЕНИИ ПОРЯДКА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ПРЕДСТАВЛЕНИЯ ЗАЯВЛЕНИЯ О ГОСУДАРСТВЕННОМ КАДАСТРОВОМ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УЧЕТЕ НЕДВИЖИМОГО ИМУЩЕСТВА И (ИЛИ) ГОСУДАРСТВЕННОЙ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РЕГИСТРАЦИИ ПРАВ НА НЕДВИЖИМОЕ ИМУЩЕСТВО И ПРИЛАГАЕМЫХ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К НЕМУ ДОКУМЕНТОВ, ПОРЯДКА ПРЕДСТАВЛЕНИЯ ЗАЯВЛЕНИЯ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ОБ ИСПРАВЛЕНИИ ТЕХНИЧЕСКОЙ ОШИБКИ В ЗАПИСЯХ ЕДИНОГО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ГОСУДАРСТВЕННОГО РЕЕСТРА НЕДВИЖИМОСТИ</w:t>
      </w:r>
    </w:p>
    <w:p w:rsidR="00705E10" w:rsidRPr="00705E10" w:rsidRDefault="00705E10" w:rsidP="00705E10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В соответствии с частью 1 </w:t>
      </w:r>
      <w:hyperlink r:id="rId5" w:history="1">
        <w:r w:rsidRPr="00705E10">
          <w:rPr>
            <w:rFonts w:ascii="Arial" w:eastAsia="Times New Roman" w:hAnsi="Arial" w:cs="Arial"/>
            <w:color w:val="333399"/>
            <w:spacing w:val="3"/>
            <w:sz w:val="19"/>
            <w:szCs w:val="19"/>
            <w:u w:val="single"/>
            <w:lang w:eastAsia="ru-RU"/>
          </w:rPr>
          <w:t>статьи 18</w:t>
        </w:r>
      </w:hyperlink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, частью 6 </w:t>
      </w:r>
      <w:hyperlink r:id="rId6" w:history="1">
        <w:r w:rsidRPr="00705E10">
          <w:rPr>
            <w:rFonts w:ascii="Arial" w:eastAsia="Times New Roman" w:hAnsi="Arial" w:cs="Arial"/>
            <w:color w:val="333399"/>
            <w:spacing w:val="3"/>
            <w:sz w:val="19"/>
            <w:szCs w:val="19"/>
            <w:u w:val="single"/>
            <w:lang w:eastAsia="ru-RU"/>
          </w:rPr>
          <w:t>статьи 30</w:t>
        </w:r>
      </w:hyperlink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, частью 2 </w:t>
      </w:r>
      <w:hyperlink r:id="rId7" w:history="1">
        <w:r w:rsidRPr="00705E10">
          <w:rPr>
            <w:rFonts w:ascii="Arial" w:eastAsia="Times New Roman" w:hAnsi="Arial" w:cs="Arial"/>
            <w:color w:val="333399"/>
            <w:spacing w:val="3"/>
            <w:sz w:val="19"/>
            <w:szCs w:val="19"/>
            <w:u w:val="single"/>
            <w:lang w:eastAsia="ru-RU"/>
          </w:rPr>
          <w:t>статьи 61 Федерального закона</w:t>
        </w:r>
      </w:hyperlink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от 13 июля 2015 г. N 218-ФЗ "О государственной регистрации недвижимости" (Собрание законодательства Российской Федерации, 2015, N 29, ст. 4344), пунктом 1 и подпунктом 5.2.29 Положения о Министерстве экономического развития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41, ст. 4777;</w:t>
      </w:r>
      <w:proofErr w:type="gram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N 46, ст. 5488; 2010, N 5, ст. 532; N 9, ст. 960; N 10, ст. 1085; N 19, ст. 2324; N 21, ст. 2602; N 26, ст. 3350; N 40, ст. 5068; N 41, ст. 5240; N 45, ст. 5860; N 52, ст. 7104; 2011, N 9, ст. 1251;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N 12, ст. 1640; N 14, ст. 1935; N 15, ст. 2131; N 17, ст. 2411, 2424; N 32, ст. 4834; N 36, ст. 5149, 5151; N 39, ст. 5485; N 43, ст. 6079; N 46, ст. 6527; 2012, N 1, ст. 170, 177; N 13, ст. 1531; N 19, ст. 2436, 2444;</w:t>
      </w:r>
      <w:proofErr w:type="gram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N 27, ст. 3745, 3766; N 37, ст. 5001; N 39, ст. 5284; N 51, ст. 7236; N 52, ст. 7491; N 53, ст. 7943; 2013, N 5, ст. 391; N 14, ст. 1705; N 33, ст. 4386; N 35, ст. 4514; N 36, ст. 4578; N 45, ст. 5822; N 47, ст. 6120; N 50, ст. 6606; N 52, ст. 7217; 2014, N 6, ст. 584; N 15, ст. 1750; N 16, ст. 1900; N 21, ст. 2712; N 37, ст. 4954; N 40, ст. 5426; N 42, ст. 5757; N 44, ст. 6072; N 48, ст. 6871; N 49, ст. 6957; N 50, ст. 7100, 7123; N 51, ст. 7446; 2015, N 1, ст. 219;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N 6, ст. 965; N 7, ст. 1046; N 16, ст. 2388; N 20, ст. 2920; N 22, ст. 3230; N 24, ст. 3479; N 30, ст. 4589; N 36, ст. 5050; N 41, ст. 5671; N 43, ст. 5977; N 44, ст. 6140; официальный интернет-портал правовой информации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pravo.gov.ru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, 10.11.2015, 11.11.2015), приказываю:</w:t>
      </w:r>
      <w:proofErr w:type="gramEnd"/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1. Утвердить: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порядок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 согласно приложению N 1;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порядок представления заявления об исправлении технической ошибки в записях Единого государственного реестра недвижимости согласно приложению N 2.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lastRenderedPageBreak/>
        <w:t>2. Настоящий приказ вступает в силу с 1 января 2017 года.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right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Министр</w:t>
      </w: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br/>
        <w:t>А.В.УЛЮКАЕВ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right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Приложение N 1</w:t>
      </w: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br/>
        <w:t>к приказу Минэкономразвития России</w:t>
      </w: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br/>
        <w:t>от 26 ноября 2015 г. N 883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center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t>ПОРЯДОК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ПРЕДСТАВЛЕНИЯ ЗАЯВЛЕНИЯ О ГОСУДАРСТВЕННОМ КАДАСТРОВОМ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УЧЕТЕ НЕДВИЖИМОГО ИМУЩЕСТВА И (ИЛИ) ГОСУДАРСТВЕННОЙ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РЕГИСТРАЦИИ ПРАВ НА НЕДВИЖИМОЕ ИМУЩЕСТВО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И ПРИЛАГАЕМЫХ К НЕМУ ДОКУМЕНТОВ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1. Настоящий Порядок определяет порядок представления заявления о государственном кадастровом учете недвижимого имущества и (или) государственной регистрации прав на недвижимое имущество (далее - заявление о государственном кадастровом учете и (или) государственной регистрации прав, государственный кадастровый учет, государственная регистрация прав) и прилагаемых к нему документов.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2. Заявление о государственном кадастровом учете недвижимого имущества и (или) государственной регистрации прав и прилагаемые к нему документы представляются по выбору заявителя: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1) в форме документов на бумажном носителе при личном обращении: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- в орган регистрации прав независимо от места нахождения объекта недвижимости согласно перечню подразделений органа регистрации прав, опубликованному на официальном сайте органа регистрации прав в информационно-телекоммуникационной сети "Интернет" (далее - официальный сайт);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- к уполномоченному лицу органа регистрации прав при выездном приеме согласно перечню подразделений органа регистрации прав, опубликованному на официальном сайте;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- через многофункциональный центр по предоставлению государственных или муниципальных услуг (далее - многофункциональный центр) независимо от места нахождения объекта недвижимости согласно перечню многофункциональных центров, опубликованному на официальном сайте;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2) в форме документов на бумажном носителе, направляемых в орган регистрации прав посредством почтового отправления с объявленной ценностью при его пересылке, описью вложения и уведомлением о вручении согласно перечню подразделений органа регистрации прав, опубликованному на официальном сайте;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3)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направляемых в орган регистрации прав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через</w:t>
      </w:r>
      <w:proofErr w:type="gram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: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единый портал государственных и муниципальных услуг (функций);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официальный сайт;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а также с использованием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веб-сервисов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.</w:t>
      </w:r>
    </w:p>
    <w:p w:rsidR="00705E10" w:rsidRPr="00705E10" w:rsidRDefault="00705E10" w:rsidP="00705E10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lastRenderedPageBreak/>
        <w:t xml:space="preserve">3.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Заявление о государственном кадастровом учете и (или) государственной регистрации права в форме документа на бумажном носителе подписывается собственноручной подписью правообладателя, сторон договора, лица, чье право ограничивается и обременяется объект недвижимости, лица, в пользу которого ограничивается право и обременяется объект недвижимости, или уполномоченного им (ими) на то лица при наличии у него нотариально удостоверенной доверенности, а также иных лиц в предусмотренных</w:t>
      </w:r>
      <w:proofErr w:type="gram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  <w:hyperlink r:id="rId8" w:history="1">
        <w:r w:rsidRPr="00705E10">
          <w:rPr>
            <w:rFonts w:ascii="Arial" w:eastAsia="Times New Roman" w:hAnsi="Arial" w:cs="Arial"/>
            <w:color w:val="333399"/>
            <w:spacing w:val="3"/>
            <w:sz w:val="19"/>
            <w:szCs w:val="19"/>
            <w:u w:val="single"/>
            <w:lang w:eastAsia="ru-RU"/>
          </w:rPr>
          <w:t>Федеральным законом от 13 июля 2015 г. N 218-ФЗ</w:t>
        </w:r>
      </w:hyperlink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"О государственной регистрации недвижимости" (далее - Закон) &lt;1&gt;, другим федеральным законом случаях (далее - заявитель).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Заявление о государственном кадастровом учете и (или) государственной регистрации права в форме электронного документа подписывается усиленной квалифицированной электронной подписью (УКЭП) заявителя.</w:t>
      </w: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br/>
        <w:t>--------------------------------</w:t>
      </w: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br/>
        <w:t>&lt;1&gt; Собрание законодательства Российской Федерации, 2015, N 29, ст. 4344.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Содержание заявления о государственном кадастровом учете и (или) государственной регистрации прав, представляемого в форме электронного документа, должно соответствовать содержанию заявления о государственном кадастровом учете и (или) государственной регистрации прав, представляемого в форме документа на бумажном носителе.</w:t>
      </w:r>
    </w:p>
    <w:p w:rsidR="00705E10" w:rsidRPr="00705E10" w:rsidRDefault="00705E10" w:rsidP="00705E10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4. Требования к документам, представляемым для осуществления государственного кадастрового учета и (или) государственной регистрации прав установлены </w:t>
      </w:r>
      <w:hyperlink r:id="rId9" w:history="1">
        <w:r w:rsidRPr="00705E10">
          <w:rPr>
            <w:rFonts w:ascii="Arial" w:eastAsia="Times New Roman" w:hAnsi="Arial" w:cs="Arial"/>
            <w:color w:val="333399"/>
            <w:spacing w:val="3"/>
            <w:sz w:val="19"/>
            <w:szCs w:val="19"/>
            <w:u w:val="single"/>
            <w:lang w:eastAsia="ru-RU"/>
          </w:rPr>
          <w:t>статьей 21 Закона</w:t>
        </w:r>
      </w:hyperlink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5. В случае представления заявления о государственном кадастровом учете и (или) государственной регистрации права в форме документа на бумажном носителе межевой план, технический план, карта-план территории, акт обследования представляются на государственный кадастровый учет и (или) государственную регистрацию прав на электронном носителе информации (например, оптический компакт-диск, USB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Flash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Drive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). Электронный носитель информации возвращается заявителю при наличии соответствующего указания в заявлении о государственном кадастровом учете и (или) государственной регистрации права.</w:t>
      </w:r>
    </w:p>
    <w:p w:rsidR="00705E10" w:rsidRPr="00705E10" w:rsidRDefault="00705E10" w:rsidP="00705E10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6.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Если на момент представления заявления о государственном кадастровом учете и (или) государственной регистрации права и прилагаемых к нему документов государственная пошлина не уплачена и необходимость ее уплаты предусмотрена частью второй Налогового кодекса Российской Федерации &lt;1&gt;, заявителю одновременно с уведомлением о приеме таких документов, предусмотренным частью 17 </w:t>
      </w:r>
      <w:hyperlink r:id="rId10" w:history="1">
        <w:r w:rsidRPr="00705E10">
          <w:rPr>
            <w:rFonts w:ascii="Arial" w:eastAsia="Times New Roman" w:hAnsi="Arial" w:cs="Arial"/>
            <w:color w:val="333399"/>
            <w:spacing w:val="3"/>
            <w:sz w:val="19"/>
            <w:szCs w:val="19"/>
            <w:u w:val="single"/>
            <w:lang w:eastAsia="ru-RU"/>
          </w:rPr>
          <w:t>статьи 18 Закона</w:t>
        </w:r>
      </w:hyperlink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, выдается (направляется) информация, содержащая уникальный идентификатор платежа для уплаты государственной пошлины</w:t>
      </w:r>
      <w:proofErr w:type="gram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, с указанием даты, до которой необходимо уплатить государственную пошлину.</w:t>
      </w: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br/>
      </w:r>
    </w:p>
    <w:p w:rsidR="00705E10" w:rsidRPr="00705E10" w:rsidRDefault="00705E10" w:rsidP="00705E10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7.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Предусмотренные пунктом 1 части 6 </w:t>
      </w:r>
      <w:hyperlink r:id="rId11" w:history="1">
        <w:r w:rsidRPr="00705E10">
          <w:rPr>
            <w:rFonts w:ascii="Arial" w:eastAsia="Times New Roman" w:hAnsi="Arial" w:cs="Arial"/>
            <w:color w:val="333399"/>
            <w:spacing w:val="3"/>
            <w:sz w:val="19"/>
            <w:szCs w:val="19"/>
            <w:u w:val="single"/>
            <w:lang w:eastAsia="ru-RU"/>
          </w:rPr>
          <w:t>статьи 47 Закона</w:t>
        </w:r>
      </w:hyperlink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участков,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</w:t>
      </w:r>
      <w:proofErr w:type="gram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участок из земель сельскохозяйственного назначения, проект межевания земельного участка, утвержденный решением общего собрания участников долевой собственности на земельный участок из земель сельскохозяйственного назначения, могут быть представлены в орган регистрации прав в форме электронного документа, подписанного усиленной квалифицированной электронной подписью уполномоченного лица органа местного самоуправления поселения или городского округа по месту расположения земельного участка, находящегося в общей долевой собственности, или в</w:t>
      </w:r>
      <w:proofErr w:type="gram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форме электронного образа бумажного документа, заверенного усиленной квалифицированной электронной подписью уполномоченного лица органа местного самоуправления поселения или городского округа по месту расположения земельного участка, находящегося в общей долевой собственности либо в форме электронного образа бумажного документа, заверенного усиленной квалифицированной электронной подписью нотариуса.</w:t>
      </w:r>
    </w:p>
    <w:p w:rsidR="00705E10" w:rsidRPr="00705E10" w:rsidRDefault="00705E10" w:rsidP="00705E10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8.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Предусмотренное пунктом 2 части 6 </w:t>
      </w:r>
      <w:hyperlink r:id="rId12" w:history="1">
        <w:r w:rsidRPr="00705E10">
          <w:rPr>
            <w:rFonts w:ascii="Arial" w:eastAsia="Times New Roman" w:hAnsi="Arial" w:cs="Arial"/>
            <w:color w:val="333399"/>
            <w:spacing w:val="3"/>
            <w:sz w:val="19"/>
            <w:szCs w:val="19"/>
            <w:u w:val="single"/>
            <w:lang w:eastAsia="ru-RU"/>
          </w:rPr>
          <w:t>статьи 47 Закона</w:t>
        </w:r>
      </w:hyperlink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 может быть представлено в орган регистрации прав в форме электронного документа, подписанного усиленной </w:t>
      </w: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lastRenderedPageBreak/>
        <w:t>квалифицированной электронной подписью лица, изготовившего или выдавшего этот документ, или в форме электронного образа бумажного документа, заверенного усиленной квалифицированной электронной</w:t>
      </w:r>
      <w:proofErr w:type="gram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подписью лица, изготовившего или выдавшего этот документ.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9. Необходимые для государственного кадастрового учета и (или) государственной регистрации прав документы, направляемые в форме электронных документов, представляются в одном из следующих форматов: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- в виде файлов в формате XML-документов, созданных с использованием XML-схем и обеспечивающих считывание и контроль представленных данных;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- в виде электронных образов документов в формате PDF.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10.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11. При изменении нормативных правовых актов, регулирующих порядок представления заявления о государственном кадастровом учете и (или) государственной регистрации прав и прилагаемых к нему документов, Федеральная служба государственной регистрации, кадастра и картографии изменяет XML-схемы,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dpi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12. Заявление о государственном кадастровом учете и (или) государственной регистрации права и прилагаемые к нему документы, представляемые в орган регистрации прав в форме электронных документов и (или) электронных образов документов, передаются с использованием следующих протоколов передачи информации: HTTP/1.1 (IETF RFC 2616), HTTP/TLS (IETF RFC 2818), SOAP (W3C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Simple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Object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Access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Protocol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1.1), TLS 1.0 (IETF RFC 2246).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13. Средства электронной подписи, применяемые при представлении заявления о государственном кадастровом учете и (или) государственной регистрации прав и прилагаемых к нему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органом регистрации прав.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Информация о требованиях к совместимости, сертификату ключа подписи, обеспечению возможности подтверждения подлинности УКЭП заявителя размещается на официальном сайте.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 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 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right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Приложение N 2</w:t>
      </w: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br/>
        <w:t>к приказу Минэкономразвития России</w:t>
      </w: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br/>
        <w:t>от 26 ноября 2015 г. N 883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center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lastRenderedPageBreak/>
        <w:t>ПОРЯДОК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ПРЕДСТАВЛЕНИЯ ЗАЯВЛЕНИЯ ОБ ИСПРАВЛЕНИИ ТЕХНИЧЕСКОЙ ОШИБКИ</w:t>
      </w:r>
      <w:r w:rsidRPr="00705E10">
        <w:rPr>
          <w:rFonts w:ascii="Arial" w:eastAsia="Times New Roman" w:hAnsi="Arial" w:cs="Arial"/>
          <w:b/>
          <w:bCs/>
          <w:color w:val="000000"/>
          <w:spacing w:val="3"/>
          <w:sz w:val="19"/>
          <w:szCs w:val="19"/>
          <w:lang w:eastAsia="ru-RU"/>
        </w:rPr>
        <w:br/>
        <w:t>В ЗАПИСЯХ ЕДИНОГО ГОСУДАРСТВЕННОГО РЕЕСТРА НЕДВИЖИМОСТИ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1. Настоящий Порядок определяет порядок представления заявления об исправлении технической ошибки в записях Единого государственного реестра недвижимости (далее - заявление об исправлении технической ошибки).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2. Заявление об исправлении технической ошибки представляется по выбору заявителя: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1) в форме документа на бумажном носителе при личном обращении: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- в орган регистрации прав независимо от места нахождения объекта недвижимости согласно перечню подразделений органа регистрации прав, опубликованному на официальном сайте органа регистрации прав в информационно-телекоммуникационной сети "Интернет" (далее - официальный сайт);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- к уполномоченному лицу органа регистрации прав при выездном приеме согласно перечню подразделений органа регистрации прав, опубликованному на официальном сайте;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- через многофункциональный центр по предоставлению государственных или муниципальных услуг (далее - многофункциональный центр) независимо от места нахождения объекта недвижимости согласно перечню многофункциональных центров, опубликованному на официальном сайте;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2) в форме документа на бумажном носителе, направляемого в орган регистрации прав посредством почтового отправления с объявленной ценностью при его пересылке, описью вложения и уведомлением о вручении согласно перечню подразделений органа регистрации прав, опубликованному на официальном сайте;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3) в форме электронного документа с использованием информационно-телекоммуникационных сетей общего пользования, в том числе сети "Интернет", направляемого в орган регистрации прав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через</w:t>
      </w:r>
      <w:proofErr w:type="gram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: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единый портал государственных и муниципальных услуг (функций);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официальный сайт;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а также с использованием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веб-сервисов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.</w:t>
      </w:r>
    </w:p>
    <w:p w:rsidR="00705E10" w:rsidRDefault="00705E10" w:rsidP="00705E10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3. </w:t>
      </w:r>
      <w:proofErr w:type="gram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Заявление об исправлении технической ошибки в форме документа на бумажном носителе подписывается собственноручной подписью правообладателя или уполномоченного им на то лица при наличии у него нотариально удостоверенной доверенности, а также иных лиц в предусмотренных Федеральным </w:t>
      </w:r>
      <w:hyperlink r:id="rId13" w:history="1">
        <w:r w:rsidRPr="00705E10">
          <w:rPr>
            <w:rFonts w:ascii="Arial" w:eastAsia="Times New Roman" w:hAnsi="Arial" w:cs="Arial"/>
            <w:color w:val="333399"/>
            <w:spacing w:val="3"/>
            <w:sz w:val="19"/>
            <w:szCs w:val="19"/>
            <w:u w:val="single"/>
            <w:lang w:eastAsia="ru-RU"/>
          </w:rPr>
          <w:t>законом от 13 июля 2015 г. N 218-ФЗ</w:t>
        </w:r>
      </w:hyperlink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"О государственной регистрации недвижимости" &lt;1&gt; (далее - Зако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н) случаях (далее - заявитель).</w:t>
      </w:r>
      <w:proofErr w:type="gramEnd"/>
    </w:p>
    <w:p w:rsidR="00705E10" w:rsidRPr="00705E10" w:rsidRDefault="00705E10" w:rsidP="00705E10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Заявление об исправлении технической ошибки в форме электронного документа подписывается усиленной квалифицированной электронной подписью (УКЭП) заявителя.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Содержание заявления об исправлении технической ошибки, представляемого в форме электронного документа, должно соответствовать содержанию заявления об исправлении технической ошибки, представляемого в форме документа на бумажном носителе.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lastRenderedPageBreak/>
        <w:t>4. Заявитель вправе по собственной инициативе представить документы, в том числе ранее не представлявшиеся в орган регистрации прав, из которых следует, что при осуществлении государственного кадастрового учета и (или) государственной регистрации прав в записях Единого государственного реестра недвижимости была допущена техническая ошибка.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5. Необходимые для исправления технической ошибки документы, направляемые в форме электронных документов, представляются в одном из следующих форматов: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- в виде файлов в формате XML-документов, созданных с использованием XML-схем и обеспечивающих считывание и контроль представленных данных;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- в виде электронных образов документов в формате PDF.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6.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7. При изменении нормативных правовых актов, регулирующих порядок представления заявления об исправлении технической ошибки и прилагаемых к нему документов, Федеральная служба государственной регистрации, кадастра и картографии изменяет XML-схемы,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dpi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8. Заявитель уведомляется о приеме заявления об исправлении технической ошибки в порядке, предусмотренном Законом для уведомления заявителя о приеме заявления о государственном кадастровом учете и (или) государственной регистрации прав и прилагаемых к нему документов.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9. Заявление об исправлении технической ошибки и прилагаемые к нему документы, представляемые в орган регистрации прав в форме электронных документов и (или) электронных образов документов, передаются с использованием следующих протоколов передачи информации: HTTP/1.1 (IETF RFC 2616), HTTP/TLS (IETF RFC 2818), SOAP (W3C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Simple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Object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Access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  <w:proofErr w:type="spellStart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Protocol</w:t>
      </w:r>
      <w:proofErr w:type="spellEnd"/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1.1), TLS 1.0 (IETF RFC 2246).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10. Средства электронной подписи, применяемые при представлении заявления об исправлении технической ошибки, должны быть сертифицированы в соответствии с законодательством Российской Федерации и совместимы со средствами электронной подписи, применяемыми органом регистрации прав.</w:t>
      </w:r>
    </w:p>
    <w:p w:rsidR="00705E10" w:rsidRPr="00705E10" w:rsidRDefault="00705E10" w:rsidP="00705E10">
      <w:pPr>
        <w:shd w:val="clear" w:color="auto" w:fill="FFFFFF"/>
        <w:spacing w:after="340" w:line="326" w:lineRule="atLeast"/>
        <w:jc w:val="both"/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</w:pPr>
      <w:r w:rsidRPr="00705E10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>Информация о требованиях к совместимости, сертификату ключа подписи, обеспечению возможности подтверждения подлинности УКЭП заявителя размещается на официальном сайте.</w:t>
      </w:r>
    </w:p>
    <w:p w:rsidR="009F4ADB" w:rsidRDefault="009F4ADB"/>
    <w:sectPr w:rsidR="009F4ADB" w:rsidSect="00705E1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395"/>
    <w:multiLevelType w:val="multilevel"/>
    <w:tmpl w:val="9E2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E10"/>
    <w:rsid w:val="005E29DA"/>
    <w:rsid w:val="00705E10"/>
    <w:rsid w:val="009F4ADB"/>
    <w:rsid w:val="00D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E10"/>
    <w:rPr>
      <w:b/>
      <w:bCs/>
    </w:rPr>
  </w:style>
  <w:style w:type="paragraph" w:styleId="a4">
    <w:name w:val="Normal (Web)"/>
    <w:basedOn w:val="a"/>
    <w:uiPriority w:val="99"/>
    <w:semiHidden/>
    <w:unhideWhenUsed/>
    <w:rsid w:val="00705E10"/>
    <w:pPr>
      <w:spacing w:after="340" w:line="326" w:lineRule="atLeast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029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8753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2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15224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9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82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2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91607">
                                              <w:marLeft w:val="0"/>
                                              <w:marRight w:val="0"/>
                                              <w:marTop w:val="20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6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29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9256" TargetMode="External"/><Relationship Id="rId13" Type="http://schemas.openxmlformats.org/officeDocument/2006/relationships/hyperlink" Target="http://logos-pravo.ru/page.php?id=9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9321" TargetMode="External"/><Relationship Id="rId12" Type="http://schemas.openxmlformats.org/officeDocument/2006/relationships/hyperlink" Target="http://logos-pravo.ru/page.php?id=9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9288" TargetMode="External"/><Relationship Id="rId11" Type="http://schemas.openxmlformats.org/officeDocument/2006/relationships/hyperlink" Target="http://logos-pravo.ru/page.php?id=9306" TargetMode="External"/><Relationship Id="rId5" Type="http://schemas.openxmlformats.org/officeDocument/2006/relationships/hyperlink" Target="http://logos-pravo.ru/page.php?id=927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ogos-pravo.ru/page.php?id=9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9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2727</Words>
  <Characters>15544</Characters>
  <Application>Microsoft Office Word</Application>
  <DocSecurity>0</DocSecurity>
  <Lines>129</Lines>
  <Paragraphs>36</Paragraphs>
  <ScaleCrop>false</ScaleCrop>
  <Company>Microsoft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</cp:revision>
  <dcterms:created xsi:type="dcterms:W3CDTF">2017-05-15T04:05:00Z</dcterms:created>
  <dcterms:modified xsi:type="dcterms:W3CDTF">2017-05-18T12:39:00Z</dcterms:modified>
</cp:coreProperties>
</file>