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19" w:rsidRPr="00527745" w:rsidRDefault="00123219" w:rsidP="00123219">
      <w:pPr>
        <w:jc w:val="right"/>
      </w:pPr>
      <w:r w:rsidRPr="00527745">
        <w:t>Приложение № 3</w:t>
      </w:r>
    </w:p>
    <w:p w:rsidR="00123219" w:rsidRPr="00527745" w:rsidRDefault="00123219" w:rsidP="00123219">
      <w:pPr>
        <w:jc w:val="right"/>
      </w:pPr>
      <w:r w:rsidRPr="00527745">
        <w:t>к постановлению администрации Октябрьского района</w:t>
      </w:r>
    </w:p>
    <w:p w:rsidR="00123219" w:rsidRPr="00527745" w:rsidRDefault="00123219" w:rsidP="00123219">
      <w:pPr>
        <w:jc w:val="right"/>
      </w:pPr>
      <w:r w:rsidRPr="00527745">
        <w:t>от «</w:t>
      </w:r>
      <w:proofErr w:type="gramStart"/>
      <w:r>
        <w:t>24</w:t>
      </w:r>
      <w:r w:rsidRPr="00527745">
        <w:t xml:space="preserve">» </w:t>
      </w:r>
      <w:r>
        <w:t xml:space="preserve"> апреля</w:t>
      </w:r>
      <w:proofErr w:type="gramEnd"/>
      <w:r>
        <w:t xml:space="preserve"> </w:t>
      </w:r>
      <w:r w:rsidRPr="00527745">
        <w:t xml:space="preserve"> 2018 года № </w:t>
      </w:r>
      <w:r>
        <w:t>816</w:t>
      </w:r>
    </w:p>
    <w:p w:rsidR="00123219" w:rsidRPr="00527745" w:rsidRDefault="00123219" w:rsidP="00123219">
      <w:pPr>
        <w:jc w:val="right"/>
      </w:pPr>
    </w:p>
    <w:p w:rsidR="00123219" w:rsidRPr="009F158C" w:rsidRDefault="00123219" w:rsidP="00123219">
      <w:pPr>
        <w:jc w:val="center"/>
        <w:rPr>
          <w:bCs/>
          <w:iCs/>
        </w:rPr>
      </w:pPr>
      <w:bookmarkStart w:id="0" w:name="_GoBack"/>
      <w:r w:rsidRPr="009F158C">
        <w:rPr>
          <w:bCs/>
          <w:iCs/>
        </w:rPr>
        <w:t>Методика</w:t>
      </w:r>
    </w:p>
    <w:p w:rsidR="00123219" w:rsidRPr="009F158C" w:rsidRDefault="00123219" w:rsidP="00123219">
      <w:pPr>
        <w:jc w:val="center"/>
      </w:pPr>
      <w:r w:rsidRPr="009F158C">
        <w:t>оценки стандартных издержек субъектов предпринимательской</w:t>
      </w:r>
    </w:p>
    <w:p w:rsidR="00123219" w:rsidRPr="009F158C" w:rsidRDefault="00123219" w:rsidP="00123219">
      <w:pPr>
        <w:jc w:val="center"/>
      </w:pPr>
      <w:r w:rsidRPr="009F158C">
        <w:t>и инвестиционной деятельности</w:t>
      </w:r>
      <w:bookmarkEnd w:id="0"/>
      <w:r w:rsidRPr="009F158C">
        <w:t>, возникающих в связи</w:t>
      </w:r>
    </w:p>
    <w:p w:rsidR="00123219" w:rsidRPr="009F158C" w:rsidRDefault="00123219" w:rsidP="00123219">
      <w:pPr>
        <w:jc w:val="center"/>
      </w:pPr>
      <w:r w:rsidRPr="009F158C">
        <w:t>с исполнением требований регулирования</w:t>
      </w:r>
    </w:p>
    <w:p w:rsidR="00123219" w:rsidRPr="00527745" w:rsidRDefault="00123219" w:rsidP="00123219"/>
    <w:p w:rsidR="00123219" w:rsidRPr="009F158C" w:rsidRDefault="00123219" w:rsidP="00123219">
      <w:pPr>
        <w:jc w:val="center"/>
      </w:pPr>
      <w:r w:rsidRPr="009F158C">
        <w:t>I. Общие положения</w:t>
      </w:r>
    </w:p>
    <w:p w:rsidR="00123219" w:rsidRPr="00527745" w:rsidRDefault="00123219" w:rsidP="00123219"/>
    <w:p w:rsidR="00123219" w:rsidRPr="00527745" w:rsidRDefault="00123219" w:rsidP="00123219">
      <w:pPr>
        <w:ind w:firstLine="567"/>
        <w:jc w:val="both"/>
      </w:pPr>
      <w:r w:rsidRPr="00527745">
        <w:t xml:space="preserve">1. Методика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 (далее – Методика), разработана в целях методического обеспечения, организации и проведения процедуры оценки стандартных издержек, возникающих в связи с исполнением требований регулирования (далее – стандартные </w:t>
      </w:r>
      <w:r w:rsidRPr="009F158C">
        <w:t>издержки) в ходе осуществления процедур проведения оценки регулирующего воздействия проектов муниципальных нормативных правовых актов (далее – ОРВ),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2. В ходе проведения процедур должны быть установлены положения, приводящие к возникновению у субъектов предпринимательской и инвестиционной деятельности расходов, связанных с необходимостью соблюдения установленных требований регулирования. Количественная (монетарная)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действий, требуемых для выполнения требований со </w:t>
      </w:r>
      <w:r>
        <w:t>органов местного самоуправления</w:t>
      </w:r>
      <w:r w:rsidRPr="00527745">
        <w:t>.</w:t>
      </w:r>
    </w:p>
    <w:p w:rsidR="00123219" w:rsidRPr="00527745" w:rsidRDefault="00123219" w:rsidP="00123219">
      <w:pPr>
        <w:ind w:firstLine="567"/>
        <w:jc w:val="both"/>
      </w:pPr>
      <w:r w:rsidRPr="00527745">
        <w:t>Оценка стандартных издержек на выполнение установленных требований осуществляется в отношении отдельных проектов</w:t>
      </w:r>
      <w:r>
        <w:t xml:space="preserve"> муниципальных нормативных </w:t>
      </w:r>
      <w:proofErr w:type="gramStart"/>
      <w:r>
        <w:t xml:space="preserve">правовых </w:t>
      </w:r>
      <w:r w:rsidRPr="00527745">
        <w:t xml:space="preserve"> актов</w:t>
      </w:r>
      <w:proofErr w:type="gramEnd"/>
      <w:r w:rsidRPr="00527745">
        <w:t xml:space="preserve"> (</w:t>
      </w:r>
      <w:r>
        <w:t xml:space="preserve">действующих муниципальных нормативных правовых </w:t>
      </w:r>
      <w:r w:rsidRPr="00527745">
        <w:t xml:space="preserve"> актов</w:t>
      </w:r>
      <w:r>
        <w:t xml:space="preserve">) </w:t>
      </w:r>
      <w:r w:rsidRPr="00527745">
        <w:t>в расчете на 1 календарный год.</w:t>
      </w:r>
    </w:p>
    <w:p w:rsidR="00123219" w:rsidRPr="00527745" w:rsidRDefault="00123219" w:rsidP="00123219">
      <w:pPr>
        <w:ind w:firstLine="567"/>
        <w:jc w:val="both"/>
      </w:pPr>
      <w:r w:rsidRPr="00527745">
        <w:t>3. Стандартные издержки состоят из информационных и содержательных издержек субъектов предпринимательской и инвестиционной деятельности.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Расчет стандартных издержек основывается на произведении затрачиваемого рабочего времени на осуществление административных действий, необходимых для выполнения установленных </w:t>
      </w:r>
      <w:r>
        <w:t>органами местного самоуправления</w:t>
      </w:r>
      <w:r w:rsidRPr="00527745">
        <w:t xml:space="preserve"> требований, ставки заработной платы персонала, занятого реализацией требований, финансовых затрат на исполнение установленных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Информационные издержки регулирования включают в себя затраты на сбор, подготовку и предоставление органам местного самоуправления информации (документов, сведений) в соответствии с требованиями проекта акта (нормативного акта),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представителей.</w:t>
      </w:r>
    </w:p>
    <w:p w:rsidR="00123219" w:rsidRPr="00527745" w:rsidRDefault="00123219" w:rsidP="00123219">
      <w:pPr>
        <w:ind w:firstLine="567"/>
        <w:jc w:val="both"/>
      </w:pPr>
      <w:r w:rsidRPr="00527745">
        <w:t>Содержательные издержки регулирования включают в себя затраты на реализацию положений проекта</w:t>
      </w:r>
      <w:r>
        <w:t xml:space="preserve"> 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акта), не связанные с выполнением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Стандартные издержки разделяются на единовременные, осуществляемые в момент выполнения требований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акта), и долгосрочные, регулярно осуществляемые на протяжении всего срока действия требования.</w:t>
      </w:r>
    </w:p>
    <w:p w:rsidR="00123219" w:rsidRPr="00527745" w:rsidRDefault="00123219" w:rsidP="00123219">
      <w:pPr>
        <w:jc w:val="both"/>
      </w:pPr>
    </w:p>
    <w:p w:rsidR="00123219" w:rsidRPr="00527745" w:rsidRDefault="00123219" w:rsidP="00123219">
      <w:pPr>
        <w:ind w:firstLine="567"/>
        <w:jc w:val="center"/>
      </w:pPr>
      <w:r w:rsidRPr="00527745">
        <w:lastRenderedPageBreak/>
        <w:t>II. Методология расчета информационных издержек</w:t>
      </w:r>
    </w:p>
    <w:p w:rsidR="00123219" w:rsidRPr="00527745" w:rsidRDefault="00123219" w:rsidP="00123219">
      <w:pPr>
        <w:ind w:firstLine="567"/>
        <w:jc w:val="both"/>
      </w:pPr>
    </w:p>
    <w:p w:rsidR="00123219" w:rsidRPr="00527745" w:rsidRDefault="00123219" w:rsidP="00123219">
      <w:pPr>
        <w:ind w:firstLine="567"/>
        <w:jc w:val="both"/>
      </w:pPr>
      <w:r w:rsidRPr="00527745">
        <w:t>4. Проведение оценки информационных издержек состоит из следующих этапов: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1) выделение информационных требований из текста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акта);</w:t>
      </w:r>
    </w:p>
    <w:p w:rsidR="00123219" w:rsidRPr="00527745" w:rsidRDefault="00123219" w:rsidP="00123219">
      <w:pPr>
        <w:ind w:firstLine="567"/>
        <w:jc w:val="both"/>
      </w:pPr>
      <w:r w:rsidRPr="00527745">
        <w:t>2) выделение информационных элементов из состава информационных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3) определение показателя масштаба информационных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4) определение частоты выполнения информационных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5) определение затрат рабочего времени, необходимых на выполнение информационных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6) определение стоимости приобретений, необходимых для выполнения информационных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7) расчет суммы информационных издержек.</w:t>
      </w:r>
    </w:p>
    <w:p w:rsidR="00123219" w:rsidRPr="00527745" w:rsidRDefault="00123219" w:rsidP="00123219">
      <w:pPr>
        <w:ind w:firstLine="567"/>
        <w:jc w:val="both"/>
      </w:pPr>
      <w:r w:rsidRPr="00527745">
        <w:t>В рамках каждого этапа выделяются последовательные шаги, описанные ниже.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5. Выделение информационных требований из текста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Процесс выделения информационных требований, включает в себя поиск информационных требований, указанных в тексте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акта), которые удовлетворяют всем следующим условиям:</w:t>
      </w:r>
    </w:p>
    <w:p w:rsidR="00123219" w:rsidRPr="00527745" w:rsidRDefault="00123219" w:rsidP="00123219">
      <w:pPr>
        <w:ind w:firstLine="567"/>
        <w:jc w:val="both"/>
      </w:pPr>
      <w:r w:rsidRPr="00527745">
        <w:t>имеют силу правовой нормы и возобновляемый характер в масштабах экономики;</w:t>
      </w:r>
    </w:p>
    <w:p w:rsidR="00123219" w:rsidRPr="00527745" w:rsidRDefault="00123219" w:rsidP="00123219">
      <w:pPr>
        <w:ind w:firstLine="567"/>
        <w:jc w:val="both"/>
      </w:pPr>
      <w:r w:rsidRPr="00527745">
        <w:t>распространяются на субъекты предпринимательской и инвестиционной деятельности;</w:t>
      </w:r>
    </w:p>
    <w:p w:rsidR="00123219" w:rsidRPr="00527745" w:rsidRDefault="00123219" w:rsidP="00123219">
      <w:pPr>
        <w:ind w:firstLine="567"/>
        <w:jc w:val="both"/>
      </w:pPr>
      <w:r w:rsidRPr="00527745">
        <w:t>предполагают подготовку информации в интересах органов местного самоуправления и подготовку (предоставление) информации, передача которой органу местного самоуправления возможна по почте, электронными и другими средствами связи.</w:t>
      </w:r>
    </w:p>
    <w:p w:rsidR="00123219" w:rsidRPr="00527745" w:rsidRDefault="00123219" w:rsidP="00123219">
      <w:pPr>
        <w:ind w:firstLine="567"/>
        <w:jc w:val="both"/>
      </w:pPr>
      <w:r w:rsidRPr="00527745">
        <w:t>Наиболее распространенными типами информационных требований является сбор и предоставление информации (пакет документов, уведомление).</w:t>
      </w:r>
    </w:p>
    <w:p w:rsidR="00123219" w:rsidRPr="00527745" w:rsidRDefault="00123219" w:rsidP="00123219">
      <w:pPr>
        <w:ind w:firstLine="567"/>
        <w:jc w:val="both"/>
      </w:pPr>
      <w:r w:rsidRPr="00527745">
        <w:t>6. Выделение информационных элементов из состава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Под информационным элементом понимается составная часть информационного требования, как правило, конкретный документ (заявление, выписка, справка, отчет, журнал учета) или набор сведений (информация об уплате страховых взносов, информация о несчастном случае на производстве), которые необходимо предоставить. </w:t>
      </w:r>
    </w:p>
    <w:p w:rsidR="00123219" w:rsidRPr="00527745" w:rsidRDefault="00123219" w:rsidP="00123219">
      <w:pPr>
        <w:ind w:firstLine="567"/>
        <w:jc w:val="both"/>
      </w:pPr>
      <w:r w:rsidRPr="00527745">
        <w:t>Подготовка информационных элементов влечет различные трудозатраты в зависимости от их сложности.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Процесс выделения информационных элементов включает формирование исчерпывающего перечня не </w:t>
      </w:r>
      <w:proofErr w:type="spellStart"/>
      <w:r w:rsidRPr="00527745">
        <w:t>дублирующихся</w:t>
      </w:r>
      <w:proofErr w:type="spellEnd"/>
      <w:r w:rsidRPr="00527745">
        <w:t xml:space="preserve"> информационных элементов, на которые можно разделить информационное требование.</w:t>
      </w:r>
    </w:p>
    <w:p w:rsidR="00123219" w:rsidRPr="00527745" w:rsidRDefault="00123219" w:rsidP="00123219">
      <w:pPr>
        <w:ind w:firstLine="567"/>
        <w:jc w:val="both"/>
      </w:pPr>
      <w:r w:rsidRPr="00527745">
        <w:t>К типовым информационным элементам относятся: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документы субъектов предпринимательской и инвестиционной деятельности, оригиналы которых уже готовы независимо от требований органов местного самоуправления, указанных в исследуемом проекте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акта);</w:t>
      </w:r>
    </w:p>
    <w:p w:rsidR="00123219" w:rsidRPr="00527745" w:rsidRDefault="00123219" w:rsidP="00123219">
      <w:pPr>
        <w:ind w:firstLine="567"/>
        <w:jc w:val="both"/>
      </w:pPr>
      <w:r w:rsidRPr="00527745">
        <w:t>документы, которые субъекты предпринимательской и инвестиционной деятельности готовят самостоятельно для хранения и (или) предоставления в органы местного самоуправления (отчетность, заявки, уведомления);</w:t>
      </w:r>
    </w:p>
    <w:p w:rsidR="00123219" w:rsidRPr="00527745" w:rsidRDefault="00123219" w:rsidP="00123219">
      <w:pPr>
        <w:ind w:firstLine="567"/>
        <w:jc w:val="both"/>
      </w:pPr>
      <w:r w:rsidRPr="00527745">
        <w:t>документы, которые субъекты предпринимательской и инвестиционной деятельности готовят совместно с третьими лицами (в том числе органами местного самоуправления) для хранения и (или) предоставления в органы местного самоуправления (справки, результаты экспертиз, разрешения).</w:t>
      </w:r>
    </w:p>
    <w:p w:rsidR="00123219" w:rsidRPr="00527745" w:rsidRDefault="00123219" w:rsidP="00123219">
      <w:pPr>
        <w:ind w:firstLine="567"/>
        <w:jc w:val="both"/>
      </w:pPr>
      <w:r w:rsidRPr="00527745">
        <w:lastRenderedPageBreak/>
        <w:t>7. Определение показателя масштаба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Под масштабом информационного требования (информационного элемента) понимается количество объектов (организаций, сотрудников, событий), на которых направлено регулирование с точки зрения необходимости выполнения информационного требования (предоставления информационного элемента).</w:t>
      </w:r>
    </w:p>
    <w:p w:rsidR="00123219" w:rsidRPr="00527745" w:rsidRDefault="00123219" w:rsidP="00123219">
      <w:pPr>
        <w:ind w:firstLine="567"/>
        <w:jc w:val="both"/>
      </w:pPr>
      <w:r w:rsidRPr="00527745">
        <w:t>Для информационных требований определяются значения показателей масштаба на основе стандартизированных оценок, представленных на официальном сайте Министерства экономического развития Российской Федерации (далее – стандартизированные оценки), и данных официальной статистики (официальные сайты Федеральной службы государственной статистики (www.gks.ru/), Единой межведомственной информационно-статистической системы (www.fedstat.ru), Федеральной налоговой службы России</w:t>
      </w:r>
      <w:r>
        <w:t xml:space="preserve"> (</w:t>
      </w:r>
      <w:r w:rsidRPr="00FE2E57">
        <w:t>www.nalog.ru/</w:t>
      </w:r>
      <w:proofErr w:type="spellStart"/>
      <w:r w:rsidRPr="00FE2E57">
        <w:t>opendata</w:t>
      </w:r>
      <w:proofErr w:type="spellEnd"/>
      <w:r w:rsidRPr="00FE2E57">
        <w:t>/</w:t>
      </w:r>
      <w:r w:rsidRPr="00527745">
        <w:t>), Центрального банка Российской Федерации (http://www.cbr.ru/), а также прочие ресурсы органов государственной власти).</w:t>
      </w:r>
    </w:p>
    <w:p w:rsidR="00123219" w:rsidRPr="00527745" w:rsidRDefault="00123219" w:rsidP="00123219">
      <w:pPr>
        <w:ind w:firstLine="567"/>
        <w:jc w:val="both"/>
      </w:pPr>
      <w:r w:rsidRPr="00527745">
        <w:t>В случае отсутствия требуемых стандартизированных оценок и официальной статистики искомые значения выявляются на основе формирования экспертной оценки.</w:t>
      </w:r>
    </w:p>
    <w:p w:rsidR="00123219" w:rsidRPr="00527745" w:rsidRDefault="00123219" w:rsidP="00123219">
      <w:pPr>
        <w:ind w:firstLine="567"/>
        <w:jc w:val="both"/>
      </w:pPr>
      <w:r w:rsidRPr="00527745">
        <w:t>Под экспертной оценкой понимается метод поиска и результат применения такого метода, полученный путем сбора мнений специалистов, обладающих подтвержденным опытом работы и (или) научными публикациями по исследуемому вопросу, результатов публичных консультаций, тематических исследований, статей и прочих публичных материалов с обязательным указанием источников (далее – экспертная оценка).</w:t>
      </w:r>
    </w:p>
    <w:p w:rsidR="00123219" w:rsidRPr="00527745" w:rsidRDefault="00123219" w:rsidP="00123219">
      <w:pPr>
        <w:ind w:firstLine="567"/>
        <w:jc w:val="both"/>
      </w:pPr>
      <w:r w:rsidRPr="00527745">
        <w:t>Показатели масштаба информационного требования и каждого составляющего его информационного элемента в большинстве случаев совпадают. В случае их несовпадения масштаб информационных элементов рассчитывается в виде частей масштаба информационного требования, в которое они входят. Размер частей определяется на основе экспертной оценки.</w:t>
      </w:r>
    </w:p>
    <w:p w:rsidR="00123219" w:rsidRPr="00527745" w:rsidRDefault="00123219" w:rsidP="00123219">
      <w:pPr>
        <w:ind w:firstLine="567"/>
        <w:jc w:val="both"/>
      </w:pPr>
      <w:r w:rsidRPr="00527745">
        <w:t>8. Определение частоты выполнения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Под частотой выполнения информационного требования (предоставления информационного элемента) понимается количество выполнений информационного требования (предоставлений информационных элементов) в год. Например, если информация должна предоставляться один раз в год, значение показателя частоты равно 1, если каждые 6 месяцев, значение показателя – 2, если каждые один раз в три года, значение показателя – 0,33.</w:t>
      </w:r>
    </w:p>
    <w:p w:rsidR="00123219" w:rsidRPr="00527745" w:rsidRDefault="00123219" w:rsidP="00123219">
      <w:pPr>
        <w:ind w:firstLine="567"/>
        <w:jc w:val="both"/>
      </w:pPr>
      <w:r w:rsidRPr="00527745">
        <w:t>Частота выполнения информационного требования и каждого составляющего его информационного элемента в большинстве случаев совпадает. 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требования, в которое он входит, и частоты выполнения информационного требования.</w:t>
      </w:r>
    </w:p>
    <w:p w:rsidR="00123219" w:rsidRPr="00527745" w:rsidRDefault="00123219" w:rsidP="00123219">
      <w:pPr>
        <w:ind w:firstLine="567"/>
        <w:jc w:val="both"/>
      </w:pPr>
      <w:r w:rsidRPr="00527745">
        <w:t>9. Определение затрат рабочего времени, необходимых на выполнение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Определяются затраты рабочего времени на выполнение каждого информационного требования. Указанные затраты складываются из затрат рабочего времени на выполнение административных действий, необходимых для предоставления информационных элементов, входящих в информационное требование.</w:t>
      </w:r>
    </w:p>
    <w:p w:rsidR="00123219" w:rsidRPr="00527745" w:rsidRDefault="00123219" w:rsidP="00123219">
      <w:pPr>
        <w:ind w:firstLine="567"/>
        <w:jc w:val="both"/>
      </w:pPr>
      <w:r w:rsidRPr="00527745">
        <w:t>Наиболее распространенные блоки административных действий, необходимые для предоставления информационных элементов, следующие:</w:t>
      </w:r>
    </w:p>
    <w:p w:rsidR="00123219" w:rsidRPr="00527745" w:rsidRDefault="00123219" w:rsidP="00123219">
      <w:pPr>
        <w:ind w:firstLine="567"/>
        <w:jc w:val="both"/>
      </w:pPr>
      <w:r w:rsidRPr="00527745">
        <w:t>подготовка (формирование) и представление документа (сведений);</w:t>
      </w:r>
    </w:p>
    <w:p w:rsidR="00123219" w:rsidRPr="00527745" w:rsidRDefault="00123219" w:rsidP="00123219">
      <w:pPr>
        <w:ind w:firstLine="567"/>
        <w:jc w:val="both"/>
      </w:pPr>
      <w:r w:rsidRPr="00527745">
        <w:t>получение (поиск) и представление документа;</w:t>
      </w:r>
    </w:p>
    <w:p w:rsidR="00123219" w:rsidRPr="00527745" w:rsidRDefault="00123219" w:rsidP="00123219">
      <w:pPr>
        <w:ind w:firstLine="567"/>
        <w:jc w:val="both"/>
      </w:pPr>
      <w:r w:rsidRPr="00527745">
        <w:t>получение документа у третьих лиц и представление его в орган местного самоуправления в пакете с иными документами;</w:t>
      </w:r>
    </w:p>
    <w:p w:rsidR="00123219" w:rsidRPr="00527745" w:rsidRDefault="00123219" w:rsidP="00123219">
      <w:pPr>
        <w:ind w:firstLine="567"/>
        <w:jc w:val="both"/>
      </w:pPr>
      <w:r w:rsidRPr="00527745">
        <w:lastRenderedPageBreak/>
        <w:t>получение (поиск), копирование и представление в орган местного самоуправления копии ранее подготовленного документа.</w:t>
      </w:r>
    </w:p>
    <w:p w:rsidR="00123219" w:rsidRPr="00527745" w:rsidRDefault="00123219" w:rsidP="00123219">
      <w:pPr>
        <w:ind w:firstLine="567"/>
        <w:jc w:val="both"/>
      </w:pPr>
      <w:r w:rsidRPr="00527745">
        <w:t>Затраты рабочего времени на выполнение административных действий определяются с помощью стандартизированных оценок. В случае отсутствия требуемых стандартизированных оценок искомые значения выявляются на основе формирования экспертной оценки.</w:t>
      </w:r>
    </w:p>
    <w:p w:rsidR="00123219" w:rsidRPr="00527745" w:rsidRDefault="00123219" w:rsidP="00123219">
      <w:pPr>
        <w:ind w:firstLine="567"/>
        <w:jc w:val="both"/>
      </w:pPr>
      <w:r w:rsidRPr="00527745">
        <w:t>В случае, если масштаб и (или) частота выполнения информационного требования и масштаб и (или) частота предоставления входящих в него информационных элементов отличаются,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Затраты рабочего времени, необходимого на выполнение информационных требований,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элементов, которые в него входят, с учетом показателей масштаба и частоты, найденных на предыдущих </w:t>
      </w:r>
      <w:proofErr w:type="gramStart"/>
      <w:r w:rsidRPr="00527745">
        <w:t xml:space="preserve">этапах </w:t>
      </w:r>
      <w:r w:rsidRPr="00ED0B5B">
        <w:rPr>
          <w:noProof/>
        </w:rPr>
        <w:drawing>
          <wp:inline distT="0" distB="0" distL="0" distR="0">
            <wp:extent cx="344805" cy="284480"/>
            <wp:effectExtent l="0" t="0" r="0" b="1270"/>
            <wp:docPr id="11" name="Рисунок 11" descr="base_32871_10627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32871_10627_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>.</w:t>
      </w:r>
      <w:proofErr w:type="gramEnd"/>
    </w:p>
    <w:p w:rsidR="00123219" w:rsidRPr="00527745" w:rsidRDefault="00123219" w:rsidP="00123219">
      <w:pPr>
        <w:ind w:firstLine="567"/>
        <w:jc w:val="both"/>
      </w:pPr>
      <w:r w:rsidRPr="00527745">
        <w:t>10. Определение стоимости приобретений, необходимых для выполнения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Определяются затраты на приобретение,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элемента. Указанные затраты складываются из затрат на приобретение, необходимое по предоставлению каждого информационного элемента.</w:t>
      </w:r>
    </w:p>
    <w:p w:rsidR="00123219" w:rsidRPr="00527745" w:rsidRDefault="00123219" w:rsidP="00123219">
      <w:pPr>
        <w:ind w:firstLine="567"/>
        <w:jc w:val="both"/>
      </w:pPr>
      <w:r w:rsidRPr="00527745">
        <w:t>Под приобретением понимается оплата товаров, работ, услуг, приобретаемых исключительно в целях выполнения информационного требования (предоставления информационного элемента).</w:t>
      </w:r>
    </w:p>
    <w:p w:rsidR="00123219" w:rsidRPr="00527745" w:rsidRDefault="00123219" w:rsidP="00123219">
      <w:pPr>
        <w:ind w:firstLine="567"/>
        <w:jc w:val="both"/>
      </w:pPr>
      <w:r w:rsidRPr="00527745">
        <w:t>Наиболее распространенные типы приобретений:</w:t>
      </w:r>
    </w:p>
    <w:p w:rsidR="00123219" w:rsidRPr="00527745" w:rsidRDefault="00123219" w:rsidP="00123219">
      <w:pPr>
        <w:ind w:firstLine="567"/>
        <w:jc w:val="both"/>
      </w:pPr>
      <w:r w:rsidRPr="00527745">
        <w:t>специфическое оборудование (измерительные приборы, датчики);</w:t>
      </w:r>
    </w:p>
    <w:p w:rsidR="00123219" w:rsidRPr="00527745" w:rsidRDefault="00123219" w:rsidP="00123219">
      <w:pPr>
        <w:ind w:firstLine="567"/>
        <w:jc w:val="both"/>
      </w:pPr>
      <w:r w:rsidRPr="00527745">
        <w:t>специфические услуги (курсы повышения квалификации работников);</w:t>
      </w:r>
    </w:p>
    <w:p w:rsidR="00123219" w:rsidRPr="00527745" w:rsidRDefault="00123219" w:rsidP="00123219">
      <w:pPr>
        <w:ind w:firstLine="567"/>
        <w:jc w:val="both"/>
      </w:pPr>
      <w:r w:rsidRPr="00527745">
        <w:t>государственная пошлина и иные обязательные платежи;</w:t>
      </w:r>
    </w:p>
    <w:p w:rsidR="00123219" w:rsidRPr="00527745" w:rsidRDefault="00123219" w:rsidP="00123219">
      <w:pPr>
        <w:ind w:firstLine="567"/>
        <w:jc w:val="both"/>
      </w:pPr>
      <w:r w:rsidRPr="00527745">
        <w:t>расходные материалы на выполнение требования (канцелярские принадлежности, бумага).</w:t>
      </w:r>
    </w:p>
    <w:p w:rsidR="00123219" w:rsidRPr="00527745" w:rsidRDefault="00123219" w:rsidP="00123219">
      <w:pPr>
        <w:ind w:firstLine="567"/>
        <w:jc w:val="both"/>
      </w:pPr>
      <w:r w:rsidRPr="00527745">
        <w:t>В перечень приобретений для выполнения информационных требований не включаются:</w:t>
      </w:r>
    </w:p>
    <w:p w:rsidR="00123219" w:rsidRPr="00527745" w:rsidRDefault="00123219" w:rsidP="00123219">
      <w:pPr>
        <w:ind w:firstLine="567"/>
        <w:jc w:val="both"/>
      </w:pPr>
      <w:r w:rsidRPr="00527745">
        <w:t>товары, работы, услуги общего назначения, приобретение которых учитывается в составе накладных расходов (оргтехника, мебель, услуги Интернет, коммунальные услуги);</w:t>
      </w:r>
    </w:p>
    <w:p w:rsidR="00123219" w:rsidRPr="00527745" w:rsidRDefault="00123219" w:rsidP="00123219">
      <w:pPr>
        <w:ind w:firstLine="567"/>
        <w:jc w:val="both"/>
      </w:pPr>
      <w:r w:rsidRPr="00527745">
        <w:t>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товары, работы, услуги, приобретение которых обусловлено выполнением нескольких различных норм </w:t>
      </w:r>
      <w:r>
        <w:t>нормативных правовых актов</w:t>
      </w:r>
      <w:r w:rsidRPr="00527745">
        <w:t>.</w:t>
      </w:r>
    </w:p>
    <w:p w:rsidR="00123219" w:rsidRPr="00527745" w:rsidRDefault="00123219" w:rsidP="00123219">
      <w:pPr>
        <w:ind w:firstLine="567"/>
        <w:jc w:val="both"/>
      </w:pPr>
      <w:r w:rsidRPr="00527745">
        <w:t>Процесс определения стоимости приобретений, необходимых для выполнения информационных требований, включает следующие шаги:</w:t>
      </w:r>
    </w:p>
    <w:p w:rsidR="00123219" w:rsidRPr="00527745" w:rsidRDefault="00123219" w:rsidP="00123219">
      <w:pPr>
        <w:ind w:firstLine="567"/>
        <w:jc w:val="both"/>
      </w:pPr>
      <w:r w:rsidRPr="00527745">
        <w:t>1) определение по каждому информационному элементу затрат на приобретения, которые необходимо осуществить для его предоставления;</w:t>
      </w:r>
    </w:p>
    <w:p w:rsidR="00123219" w:rsidRPr="00527745" w:rsidRDefault="00123219" w:rsidP="00123219">
      <w:pPr>
        <w:ind w:firstLine="567"/>
        <w:jc w:val="both"/>
      </w:pPr>
      <w:r w:rsidRPr="00527745">
        <w:t>2) определение по каждому информационному требованию затрат на приобретения, которые необходимо осуществить для его выполнения, с учетом показателя масштаба и частоты каждого входящего в него информационного элемента.</w:t>
      </w:r>
    </w:p>
    <w:p w:rsidR="00123219" w:rsidRPr="00527745" w:rsidRDefault="00123219" w:rsidP="00123219">
      <w:pPr>
        <w:ind w:firstLine="567"/>
        <w:jc w:val="both"/>
      </w:pPr>
      <w:r w:rsidRPr="00527745">
        <w:t>На первом шаге по каждому информационному элементу определяется перечень приобретений, необходимый для его выполнения, и их стоимость.</w:t>
      </w:r>
    </w:p>
    <w:p w:rsidR="00123219" w:rsidRPr="00527745" w:rsidRDefault="00123219" w:rsidP="00123219">
      <w:pPr>
        <w:ind w:firstLine="567"/>
        <w:jc w:val="both"/>
      </w:pPr>
      <w:r w:rsidRPr="00527745">
        <w:lastRenderedPageBreak/>
        <w:t>В случае если приобретение относится сразу ко всем или к нескольким информационным элементам в рамках одного информационного требования, приобретение указывается только для одного информационного элемента.</w:t>
      </w:r>
    </w:p>
    <w:p w:rsidR="00123219" w:rsidRPr="00527745" w:rsidRDefault="00123219" w:rsidP="00123219">
      <w:pPr>
        <w:ind w:firstLine="567"/>
        <w:jc w:val="both"/>
      </w:pPr>
      <w:r w:rsidRPr="00527745">
        <w:t>Расчет стоимости приобретений, необходимых для предоставления информационных элементов (кроме государственных пошлин и иных обязательных платежей), осуществляе</w:t>
      </w:r>
      <w:r>
        <w:t xml:space="preserve">тся следующим образом (формула </w:t>
      </w:r>
      <w:r w:rsidRPr="00527745">
        <w:t>№ 1):</w:t>
      </w:r>
    </w:p>
    <w:p w:rsidR="00123219" w:rsidRPr="00527745" w:rsidRDefault="00123219" w:rsidP="00123219">
      <w:pPr>
        <w:ind w:firstLine="567"/>
        <w:jc w:val="center"/>
      </w:pPr>
      <w:r w:rsidRPr="00ED0B5B">
        <w:rPr>
          <w:noProof/>
        </w:rPr>
        <w:drawing>
          <wp:inline distT="0" distB="0" distL="0" distR="0">
            <wp:extent cx="1112520" cy="241300"/>
            <wp:effectExtent l="0" t="0" r="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>, где:</w:t>
      </w:r>
    </w:p>
    <w:p w:rsidR="00123219" w:rsidRPr="00527745" w:rsidRDefault="00123219" w:rsidP="00123219">
      <w:pPr>
        <w:ind w:firstLine="567"/>
        <w:jc w:val="both"/>
      </w:pPr>
      <w:bookmarkStart w:id="1" w:name="P120"/>
      <w:bookmarkEnd w:id="1"/>
      <w:r w:rsidRPr="00527745">
        <w:t>MP – средняя рыночная цена на соответствующий товар;</w:t>
      </w:r>
    </w:p>
    <w:p w:rsidR="00123219" w:rsidRPr="00527745" w:rsidRDefault="00123219" w:rsidP="00123219">
      <w:pPr>
        <w:ind w:firstLine="567"/>
        <w:jc w:val="both"/>
      </w:pPr>
      <w:r>
        <w:t>№</w:t>
      </w:r>
      <w:r w:rsidRPr="00527745">
        <w:t xml:space="preserve"> – нормативное число лет службы приобретения (для работ (услуг) и расходных материалов </w:t>
      </w:r>
      <w:r>
        <w:t>№</w:t>
      </w:r>
      <w:r w:rsidRPr="00527745">
        <w:t>=1);</w:t>
      </w:r>
    </w:p>
    <w:p w:rsidR="00123219" w:rsidRPr="00527745" w:rsidRDefault="00123219" w:rsidP="00123219">
      <w:pPr>
        <w:ind w:firstLine="567"/>
        <w:jc w:val="both"/>
      </w:pPr>
      <w:r w:rsidRPr="00527745">
        <w:t>q – ожидаемое число использований приобретения в год для осуществления информационного требования (например, срок службы измерительного оборудования – 10 лет, если в течение года делается 4 измерения, расчетное кол</w:t>
      </w:r>
      <w:r>
        <w:t xml:space="preserve">ичество ожидаемых использований будет: </w:t>
      </w:r>
      <w:r w:rsidRPr="00527745">
        <w:t>4 x 1=40).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На втором шаге по каждому информационному требованию определяются затраты на приобретения, которые необходимо осуществить для его выполнения путем суммирования затрат на приобретения по каждому информационного элементу, с учетом показателей масштаба и частоты, рассчитанных на предыдущих </w:t>
      </w:r>
      <w:proofErr w:type="gramStart"/>
      <w:r w:rsidRPr="00527745">
        <w:t xml:space="preserve">этапах </w:t>
      </w:r>
      <w:r w:rsidRPr="00ED0B5B">
        <w:rPr>
          <w:noProof/>
        </w:rPr>
        <w:drawing>
          <wp:inline distT="0" distB="0" distL="0" distR="0">
            <wp:extent cx="396875" cy="2159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>.</w:t>
      </w:r>
      <w:proofErr w:type="gramEnd"/>
    </w:p>
    <w:p w:rsidR="00123219" w:rsidRPr="00527745" w:rsidRDefault="00123219" w:rsidP="00123219">
      <w:pPr>
        <w:ind w:firstLine="567"/>
        <w:jc w:val="both"/>
      </w:pPr>
      <w:r w:rsidRPr="00527745">
        <w:t>11. Расчет суммы информационных издержек.</w:t>
      </w:r>
    </w:p>
    <w:p w:rsidR="00123219" w:rsidRPr="00527745" w:rsidRDefault="00123219" w:rsidP="00123219">
      <w:pPr>
        <w:ind w:firstLine="567"/>
        <w:jc w:val="both"/>
      </w:pPr>
      <w:r w:rsidRPr="00527745">
        <w:t>Рассчитываются совокупные информационные издержки по всем информационным требованиям. Указанные издержки рассчитываются как сумма трудозатрат и приобретений, необходимых для выполнения всех информационных требований, в денежном выражении с учетом показателя масштаба и частоты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Процесс определения суммы информационных издержек по всем информационным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 в описанных выше случаях включает следующие шаги:</w:t>
      </w:r>
    </w:p>
    <w:p w:rsidR="00123219" w:rsidRPr="00527745" w:rsidRDefault="00123219" w:rsidP="00123219">
      <w:pPr>
        <w:ind w:firstLine="567"/>
        <w:jc w:val="both"/>
      </w:pPr>
      <w:r w:rsidRPr="00527745">
        <w:t>1)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элемента;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2) расчет суммы информационных издержек по всем информационным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акта).</w:t>
      </w:r>
    </w:p>
    <w:p w:rsidR="00123219" w:rsidRPr="00527745" w:rsidRDefault="00123219" w:rsidP="00123219">
      <w:pPr>
        <w:ind w:firstLine="567"/>
        <w:jc w:val="both"/>
      </w:pPr>
      <w:r w:rsidRPr="00527745">
        <w:t>На первом шаге рассчитываются информационные издержки по выполнению каждого информационного требования (формула № 2):</w:t>
      </w:r>
    </w:p>
    <w:p w:rsidR="00123219" w:rsidRPr="00527745" w:rsidRDefault="00123219" w:rsidP="00123219">
      <w:pPr>
        <w:ind w:firstLine="567"/>
        <w:jc w:val="both"/>
      </w:pPr>
      <w:r w:rsidRPr="00ED0B5B">
        <w:rPr>
          <w:noProof/>
        </w:rPr>
        <w:drawing>
          <wp:inline distT="0" distB="0" distL="0" distR="0">
            <wp:extent cx="1276985" cy="215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>, где:</w:t>
      </w:r>
    </w:p>
    <w:p w:rsidR="00123219" w:rsidRPr="00527745" w:rsidRDefault="00123219" w:rsidP="00123219">
      <w:pPr>
        <w:ind w:firstLine="567"/>
        <w:jc w:val="both"/>
      </w:pPr>
      <w:r w:rsidRPr="00ED0B5B">
        <w:rPr>
          <w:noProof/>
        </w:rPr>
        <w:drawing>
          <wp:inline distT="0" distB="0" distL="0" distR="0">
            <wp:extent cx="319405" cy="327660"/>
            <wp:effectExtent l="0" t="0" r="4445" b="0"/>
            <wp:docPr id="7" name="Рисунок 7" descr="base_32871_10627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32871_10627_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7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 xml:space="preserve"> – затраты рабочего времени в часах, полученные на пятом этапе, на выполнение каждого информационного требования с учетом показателя масштаба и частоты;</w:t>
      </w:r>
    </w:p>
    <w:p w:rsidR="00123219" w:rsidRPr="00527745" w:rsidRDefault="00123219" w:rsidP="00123219">
      <w:pPr>
        <w:ind w:firstLine="567"/>
        <w:jc w:val="both"/>
      </w:pPr>
      <w:r w:rsidRPr="00527745">
        <w:rPr>
          <w:lang w:val="en-US"/>
        </w:rPr>
        <w:t>W</w:t>
      </w:r>
      <w:r w:rsidRPr="00527745">
        <w:t xml:space="preserve"> – </w:t>
      </w:r>
      <w:proofErr w:type="gramStart"/>
      <w:r>
        <w:t>с</w:t>
      </w:r>
      <w:r w:rsidRPr="00527745">
        <w:t>редняя</w:t>
      </w:r>
      <w:proofErr w:type="gramEnd"/>
      <w:r w:rsidRPr="00527745"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123219" w:rsidRPr="00527745" w:rsidRDefault="00123219" w:rsidP="00123219">
      <w:pPr>
        <w:ind w:firstLine="567"/>
        <w:jc w:val="both"/>
      </w:pPr>
      <w:r w:rsidRPr="00ED0B5B">
        <w:rPr>
          <w:noProof/>
        </w:rPr>
        <w:drawing>
          <wp:inline distT="0" distB="0" distL="0" distR="0">
            <wp:extent cx="370840" cy="336550"/>
            <wp:effectExtent l="0" t="0" r="0" b="6350"/>
            <wp:docPr id="6" name="Рисунок 6" descr="base_32871_10627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32871_10627_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 xml:space="preserve"> – 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На втором шаге рассчитывается сумма информационных издержек по всем информационным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</w:t>
      </w:r>
      <w:r>
        <w:t xml:space="preserve"> </w:t>
      </w:r>
      <w:r w:rsidRPr="00527745">
        <w:t>за год.</w:t>
      </w:r>
    </w:p>
    <w:p w:rsidR="00123219" w:rsidRDefault="00123219" w:rsidP="00123219">
      <w:pPr>
        <w:ind w:firstLine="567"/>
        <w:jc w:val="both"/>
      </w:pPr>
    </w:p>
    <w:p w:rsidR="00123219" w:rsidRPr="00527745" w:rsidRDefault="00123219" w:rsidP="00123219">
      <w:pPr>
        <w:ind w:firstLine="567"/>
        <w:jc w:val="center"/>
      </w:pPr>
      <w:r w:rsidRPr="00527745">
        <w:t>III. Методология расчета содержательных издержек</w:t>
      </w:r>
    </w:p>
    <w:p w:rsidR="00123219" w:rsidRPr="00527745" w:rsidRDefault="00123219" w:rsidP="00123219">
      <w:pPr>
        <w:ind w:firstLine="567"/>
        <w:jc w:val="both"/>
      </w:pPr>
    </w:p>
    <w:p w:rsidR="00123219" w:rsidRPr="00527745" w:rsidRDefault="00123219" w:rsidP="00123219">
      <w:pPr>
        <w:ind w:firstLine="567"/>
        <w:jc w:val="both"/>
      </w:pPr>
      <w:r w:rsidRPr="00527745">
        <w:lastRenderedPageBreak/>
        <w:t>12. Проведение оценки содержательных издержек предполагает последовательную реализацию следующих этапов: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1) выделение содержательных требований из текста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акта);</w:t>
      </w:r>
    </w:p>
    <w:p w:rsidR="00123219" w:rsidRPr="00527745" w:rsidRDefault="00123219" w:rsidP="00123219">
      <w:pPr>
        <w:ind w:firstLine="567"/>
        <w:jc w:val="both"/>
      </w:pPr>
      <w:r w:rsidRPr="00527745">
        <w:t>2) определение показателя масштаба содержательных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3) определение частоты выполнения содержательных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4) определение затрат рабочего времени, необходимого на выполнение содержательных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5) определение стоимости приобретений, необходимых для выполнения содержательных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t>6) расчет суммы содержательных издержек.</w:t>
      </w:r>
    </w:p>
    <w:p w:rsidR="00123219" w:rsidRPr="00527745" w:rsidRDefault="00123219" w:rsidP="00123219">
      <w:pPr>
        <w:ind w:firstLine="567"/>
        <w:jc w:val="both"/>
      </w:pPr>
      <w:r w:rsidRPr="00527745">
        <w:t>В рамках каждого этапа выделяются последовательные шаги, описанные ниже.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13. Выделение содержательных требований из текста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Процесс выделения содержательных требований включает в себя поиск единовременных и периодических содержательных требований, указанных в тексте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акта), которые удовлетворяют всем следующим условиям:</w:t>
      </w:r>
    </w:p>
    <w:p w:rsidR="00123219" w:rsidRPr="00527745" w:rsidRDefault="00123219" w:rsidP="00123219">
      <w:pPr>
        <w:ind w:firstLine="567"/>
        <w:jc w:val="both"/>
      </w:pPr>
      <w:r w:rsidRPr="00527745">
        <w:t>имеют силу правовой нормы;</w:t>
      </w:r>
    </w:p>
    <w:p w:rsidR="00123219" w:rsidRPr="00527745" w:rsidRDefault="00123219" w:rsidP="00123219">
      <w:pPr>
        <w:ind w:firstLine="567"/>
        <w:jc w:val="both"/>
      </w:pPr>
      <w:r w:rsidRPr="00527745">
        <w:t>распространяются на субъекты предпринимательской и инвестиционной деятельности;</w:t>
      </w:r>
    </w:p>
    <w:p w:rsidR="00123219" w:rsidRPr="00527745" w:rsidRDefault="00123219" w:rsidP="00123219">
      <w:pPr>
        <w:ind w:firstLine="567"/>
        <w:jc w:val="both"/>
      </w:pPr>
      <w:r w:rsidRPr="00527745">
        <w:t>имеют возобновляемый характер в масштабах экономики;</w:t>
      </w:r>
    </w:p>
    <w:p w:rsidR="00123219" w:rsidRPr="00527745" w:rsidRDefault="00123219" w:rsidP="00123219">
      <w:pPr>
        <w:ind w:firstLine="567"/>
        <w:jc w:val="both"/>
      </w:pPr>
      <w:r w:rsidRPr="00527745">
        <w:t>не являются информационными требованиями.</w:t>
      </w:r>
    </w:p>
    <w:p w:rsidR="00123219" w:rsidRPr="00527745" w:rsidRDefault="00123219" w:rsidP="00123219">
      <w:pPr>
        <w:ind w:firstLine="567"/>
        <w:jc w:val="both"/>
      </w:pPr>
      <w:r w:rsidRPr="00527745">
        <w:t>Наиболее распространенными типами содержательных требований являются:</w:t>
      </w:r>
    </w:p>
    <w:p w:rsidR="00123219" w:rsidRPr="00527745" w:rsidRDefault="00123219" w:rsidP="00123219">
      <w:pPr>
        <w:ind w:firstLine="567"/>
        <w:jc w:val="both"/>
      </w:pPr>
      <w:r w:rsidRPr="00527745">
        <w:t>приобретение (установка и обслуживание) оборудования;</w:t>
      </w:r>
    </w:p>
    <w:p w:rsidR="00123219" w:rsidRPr="00527745" w:rsidRDefault="00123219" w:rsidP="00123219">
      <w:pPr>
        <w:ind w:firstLine="567"/>
        <w:jc w:val="both"/>
      </w:pPr>
      <w:r w:rsidRPr="00527745">
        <w:t>наем дополнительного персонала;</w:t>
      </w:r>
    </w:p>
    <w:p w:rsidR="00123219" w:rsidRPr="00527745" w:rsidRDefault="00123219" w:rsidP="00123219">
      <w:pPr>
        <w:ind w:firstLine="567"/>
        <w:jc w:val="both"/>
      </w:pPr>
      <w:r w:rsidRPr="00527745">
        <w:t>заказ (предоставление) услуг.</w:t>
      </w:r>
    </w:p>
    <w:p w:rsidR="00123219" w:rsidRPr="00527745" w:rsidRDefault="00123219" w:rsidP="00123219">
      <w:pPr>
        <w:ind w:firstLine="567"/>
        <w:jc w:val="both"/>
      </w:pPr>
      <w:r w:rsidRPr="00527745">
        <w:t>14. Определение показателя масштаба содержательных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Для содержательных требований определяются значения показателей масштаба.</w:t>
      </w:r>
    </w:p>
    <w:p w:rsidR="00123219" w:rsidRPr="00527745" w:rsidRDefault="00123219" w:rsidP="00123219">
      <w:pPr>
        <w:ind w:firstLine="567"/>
        <w:jc w:val="both"/>
      </w:pPr>
      <w:r w:rsidRPr="00527745">
        <w:t>Под масштабом содержательного требования понимается количество объектов (организаций, сотрудников, событий), на которых направлено регулирование с точки зрения необходимости выполнения содержательного требования.</w:t>
      </w:r>
    </w:p>
    <w:p w:rsidR="00123219" w:rsidRPr="00527745" w:rsidRDefault="00123219" w:rsidP="00123219">
      <w:pPr>
        <w:ind w:firstLine="567"/>
        <w:jc w:val="both"/>
      </w:pPr>
      <w:r w:rsidRPr="00527745">
        <w:t>Значения показателей масштаба содержательных требований определяются аналогично значениям показателей масштаба, характерным для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15. Определение частоты выполнения содержательных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Для содержательных требований определяются значения показателей частоты.</w:t>
      </w:r>
    </w:p>
    <w:p w:rsidR="00123219" w:rsidRPr="00527745" w:rsidRDefault="00123219" w:rsidP="00123219">
      <w:pPr>
        <w:ind w:firstLine="567"/>
        <w:jc w:val="both"/>
      </w:pPr>
      <w:r w:rsidRPr="00527745">
        <w:t>Под частотой выполнения содержательного требования понимается количество выполнений содержательного требования в год.</w:t>
      </w:r>
    </w:p>
    <w:p w:rsidR="00123219" w:rsidRPr="00527745" w:rsidRDefault="00123219" w:rsidP="00123219">
      <w:pPr>
        <w:ind w:firstLine="567"/>
        <w:jc w:val="both"/>
      </w:pPr>
      <w:r w:rsidRPr="00527745">
        <w:t>Значения показателей частоты содержательных требований определяются аналогично значениям показателей частоты, характерным для информационных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16. Определение затрат рабочего времени, необходимого на выполнение содержательных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Процесс определения затрат рабочего времени, необходимого на выполнение содержательных требований, включает следующие шаги:</w:t>
      </w:r>
    </w:p>
    <w:p w:rsidR="00123219" w:rsidRPr="00527745" w:rsidRDefault="00123219" w:rsidP="00123219">
      <w:pPr>
        <w:ind w:firstLine="567"/>
        <w:jc w:val="both"/>
      </w:pPr>
      <w:r w:rsidRPr="00527745">
        <w:t>1) определение по каждому содержательному требованию административных действий, которые необходимо осуществить для его выполнения;</w:t>
      </w:r>
    </w:p>
    <w:p w:rsidR="00123219" w:rsidRPr="00527745" w:rsidRDefault="00123219" w:rsidP="00123219">
      <w:pPr>
        <w:ind w:firstLine="567"/>
        <w:jc w:val="both"/>
      </w:pPr>
      <w:r w:rsidRPr="00527745">
        <w:t>2) оценка затрат рабочего времени по административным действиям, которые необходимо осуществить для выполнения содержательных требований;</w:t>
      </w:r>
    </w:p>
    <w:p w:rsidR="00123219" w:rsidRPr="00527745" w:rsidRDefault="00123219" w:rsidP="00123219">
      <w:pPr>
        <w:ind w:firstLine="567"/>
        <w:jc w:val="both"/>
      </w:pPr>
      <w:r w:rsidRPr="00527745">
        <w:lastRenderedPageBreak/>
        <w:t>3) определение совокупных затрат рабочего времени на выполнение каждого содержательного требования с учетом показателя масштаба и частоты.</w:t>
      </w:r>
    </w:p>
    <w:p w:rsidR="00123219" w:rsidRPr="00527745" w:rsidRDefault="00123219" w:rsidP="00123219">
      <w:pPr>
        <w:ind w:firstLine="567"/>
        <w:jc w:val="both"/>
      </w:pPr>
      <w:r w:rsidRPr="00527745">
        <w:t>На первом шаге по каждому содержательному требованию определяются административные действия, которые необходимо осуществить для его выполнения. Наиболее распространенные блоки административных действий:</w:t>
      </w:r>
    </w:p>
    <w:p w:rsidR="00123219" w:rsidRPr="00527745" w:rsidRDefault="00123219" w:rsidP="00123219">
      <w:pPr>
        <w:ind w:firstLine="567"/>
        <w:jc w:val="both"/>
      </w:pPr>
      <w:r w:rsidRPr="00527745">
        <w:t>поиск подрядчика;</w:t>
      </w:r>
    </w:p>
    <w:p w:rsidR="00123219" w:rsidRPr="00527745" w:rsidRDefault="00123219" w:rsidP="00123219">
      <w:pPr>
        <w:ind w:firstLine="567"/>
        <w:jc w:val="both"/>
      </w:pPr>
      <w:r w:rsidRPr="00527745">
        <w:t>согласование условий и заключение договора;</w:t>
      </w:r>
    </w:p>
    <w:p w:rsidR="00123219" w:rsidRPr="00527745" w:rsidRDefault="00123219" w:rsidP="00123219">
      <w:pPr>
        <w:ind w:firstLine="567"/>
        <w:jc w:val="both"/>
      </w:pPr>
      <w:r w:rsidRPr="00527745">
        <w:t>установка приобретения;</w:t>
      </w:r>
    </w:p>
    <w:p w:rsidR="00123219" w:rsidRPr="00527745" w:rsidRDefault="00123219" w:rsidP="00123219">
      <w:pPr>
        <w:ind w:firstLine="567"/>
        <w:jc w:val="both"/>
      </w:pPr>
      <w:r w:rsidRPr="00527745">
        <w:t>обслуживание приобретения.</w:t>
      </w:r>
    </w:p>
    <w:p w:rsidR="00123219" w:rsidRPr="00527745" w:rsidRDefault="00123219" w:rsidP="00123219">
      <w:pPr>
        <w:ind w:firstLine="567"/>
        <w:jc w:val="both"/>
      </w:pPr>
      <w:r w:rsidRPr="00527745">
        <w:t>На втором шаге производится оценка затрат рабочего времени на выполнение административных действий, необходимых для выполнения каждого содержательного требования. Затраты рабочего времени на выполнение административных действий определяются с помощью стандартизированных оценок. В случае отсутствия требуемых стандартизированных оценок искомые значения выявляются на основе формирования экспертной оценки.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действию, необходимому для его выполнения, с учетом показателей масштаба и частоты, найденных на предыдущих </w:t>
      </w:r>
      <w:proofErr w:type="gramStart"/>
      <w:r w:rsidRPr="00527745">
        <w:t xml:space="preserve">этапах </w:t>
      </w:r>
      <w:r w:rsidRPr="00ED0B5B">
        <w:rPr>
          <w:noProof/>
        </w:rPr>
        <w:drawing>
          <wp:inline distT="0" distB="0" distL="0" distR="0">
            <wp:extent cx="301625" cy="284480"/>
            <wp:effectExtent l="0" t="0" r="3175" b="1270"/>
            <wp:docPr id="5" name="Рисунок 5" descr="base_32871_10627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32871_10627_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>.</w:t>
      </w:r>
      <w:proofErr w:type="gramEnd"/>
    </w:p>
    <w:p w:rsidR="00123219" w:rsidRPr="00527745" w:rsidRDefault="00123219" w:rsidP="00123219">
      <w:pPr>
        <w:ind w:firstLine="567"/>
        <w:jc w:val="both"/>
      </w:pPr>
      <w:r w:rsidRPr="00527745">
        <w:t>17. Определение стоимости приобретений, необходимых для выполнения содержательных требований.</w:t>
      </w:r>
    </w:p>
    <w:p w:rsidR="00123219" w:rsidRPr="00527745" w:rsidRDefault="00123219" w:rsidP="00123219">
      <w:pPr>
        <w:ind w:firstLine="567"/>
        <w:jc w:val="both"/>
      </w:pPr>
      <w:r w:rsidRPr="00527745">
        <w:t>Определяются затраты на приобретения, необходимые для выполнения каждого содержательного требования, с учетом показателя масштаба и частоты.</w:t>
      </w:r>
    </w:p>
    <w:p w:rsidR="00123219" w:rsidRPr="00527745" w:rsidRDefault="00123219" w:rsidP="00123219">
      <w:pPr>
        <w:ind w:firstLine="567"/>
        <w:jc w:val="both"/>
      </w:pPr>
      <w:r w:rsidRPr="00527745">
        <w:t>В состав приобретений для выполнения содержательного требования входят товары, работы, услуги, которые могут быть направлены не только на выполнение содержательного требования, но и на осуществление деятельности компании в целом (например, установка прилавка на машины, применяемые для розничной торговли).</w:t>
      </w:r>
    </w:p>
    <w:p w:rsidR="00123219" w:rsidRPr="00527745" w:rsidRDefault="00123219" w:rsidP="00123219">
      <w:pPr>
        <w:ind w:firstLine="567"/>
        <w:jc w:val="both"/>
      </w:pPr>
      <w:r w:rsidRPr="00527745">
        <w:t>В перечень приобретений, необходимых для выполнения содержательных требований, не включаются:</w:t>
      </w:r>
    </w:p>
    <w:p w:rsidR="00123219" w:rsidRPr="00527745" w:rsidRDefault="00123219" w:rsidP="00123219">
      <w:pPr>
        <w:ind w:firstLine="567"/>
        <w:jc w:val="both"/>
      </w:pPr>
      <w:r w:rsidRPr="00527745">
        <w:t>товары, работы, услуги, имеющие несущественную стоимость по сравнению с затратами рабочего времени на исполнение информационного элемента (доля стоимости данных товаров, работ и услуг менее 5% от затрат рабочего времени в денежном выражении);</w:t>
      </w:r>
    </w:p>
    <w:p w:rsidR="00123219" w:rsidRPr="00527745" w:rsidRDefault="00123219" w:rsidP="00123219">
      <w:pPr>
        <w:ind w:firstLine="567"/>
        <w:jc w:val="both"/>
      </w:pPr>
      <w:r w:rsidRPr="00527745">
        <w:t>товары, работы, услуги, приобретение которых обусловлено выполнением нескольких различных норм законодательства.</w:t>
      </w:r>
    </w:p>
    <w:p w:rsidR="00123219" w:rsidRPr="00527745" w:rsidRDefault="00123219" w:rsidP="00123219">
      <w:pPr>
        <w:ind w:firstLine="567"/>
        <w:jc w:val="both"/>
      </w:pPr>
      <w:r w:rsidRPr="00527745">
        <w:t>В случае, если приобретение относится сразу ко всем или к нескольким содержательным требованиям, приобретение указывается только для одного содержательного требования.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Стоимость приобретений, необходимых для выполнения содержательных требований по каждому приобретению, рассчитывается по </w:t>
      </w:r>
      <w:hyperlink w:anchor="P120" w:history="1">
        <w:r w:rsidRPr="00911B3A">
          <w:rPr>
            <w:rStyle w:val="a3"/>
          </w:rPr>
          <w:t>формуле № 1</w:t>
        </w:r>
      </w:hyperlink>
      <w:r w:rsidRPr="00911B3A">
        <w:t xml:space="preserve"> </w:t>
      </w:r>
      <w:r w:rsidRPr="00527745">
        <w:t xml:space="preserve">с учетом показателей масштаба и </w:t>
      </w:r>
      <w:proofErr w:type="gramStart"/>
      <w:r w:rsidRPr="00527745">
        <w:t xml:space="preserve">частоты </w:t>
      </w:r>
      <w:r w:rsidRPr="00ED0B5B">
        <w:rPr>
          <w:noProof/>
        </w:rPr>
        <w:drawing>
          <wp:inline distT="0" distB="0" distL="0" distR="0">
            <wp:extent cx="370840" cy="284480"/>
            <wp:effectExtent l="0" t="0" r="0" b="1270"/>
            <wp:docPr id="4" name="Рисунок 4" descr="base_32871_10627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32871_10627_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>.</w:t>
      </w:r>
      <w:proofErr w:type="gramEnd"/>
    </w:p>
    <w:p w:rsidR="00123219" w:rsidRPr="00527745" w:rsidRDefault="00123219" w:rsidP="00123219">
      <w:pPr>
        <w:ind w:firstLine="567"/>
        <w:jc w:val="both"/>
      </w:pPr>
      <w:r w:rsidRPr="00527745">
        <w:t>18. Расчет суммы содержательных издержек.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Рассчитывается сумма содержательных издержек по всем содержательным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</w:t>
      </w:r>
      <w:r>
        <w:t>.</w:t>
      </w:r>
      <w:r w:rsidRPr="00527745">
        <w:t xml:space="preserve"> Указанные издержки рассчитываются, как сумма трудозатрат и приобретений, необходимых для выполнения всех содержательных требований, в денежном выражении с учетом показателя масштаба и частоты.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Процесс определения совокупных содержательных издержек по всем содержательным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 включает следующие шаги:</w:t>
      </w:r>
    </w:p>
    <w:p w:rsidR="00123219" w:rsidRPr="00527745" w:rsidRDefault="00123219" w:rsidP="00123219">
      <w:pPr>
        <w:ind w:firstLine="567"/>
        <w:jc w:val="both"/>
      </w:pPr>
      <w:r w:rsidRPr="00527745">
        <w:lastRenderedPageBreak/>
        <w:t>1) расчет содержательных издержек выполнения каждого содержательного требования с учетом показателя масштаба и частоты;</w:t>
      </w:r>
    </w:p>
    <w:p w:rsidR="00123219" w:rsidRPr="00527745" w:rsidRDefault="00123219" w:rsidP="00123219">
      <w:pPr>
        <w:ind w:firstLine="567"/>
        <w:jc w:val="both"/>
      </w:pPr>
      <w:r w:rsidRPr="00527745">
        <w:t xml:space="preserve">2) расчет суммы содержательных издержек по всем содержательным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 за год.</w:t>
      </w:r>
    </w:p>
    <w:p w:rsidR="00123219" w:rsidRPr="00527745" w:rsidRDefault="00123219" w:rsidP="00123219">
      <w:pPr>
        <w:ind w:firstLine="567"/>
        <w:jc w:val="both"/>
      </w:pPr>
      <w:r w:rsidRPr="00527745">
        <w:t>На первом шаге рассчитываются содержательные издержки по выполнению каждого содержательного требования (формула № 3):</w:t>
      </w:r>
    </w:p>
    <w:p w:rsidR="00123219" w:rsidRPr="00527745" w:rsidRDefault="00123219" w:rsidP="00123219">
      <w:pPr>
        <w:ind w:firstLine="567"/>
        <w:jc w:val="both"/>
      </w:pPr>
      <w:r w:rsidRPr="00ED0B5B">
        <w:rPr>
          <w:noProof/>
        </w:rPr>
        <w:drawing>
          <wp:inline distT="0" distB="0" distL="0" distR="0">
            <wp:extent cx="1457960" cy="259080"/>
            <wp:effectExtent l="0" t="0" r="8890" b="7620"/>
            <wp:docPr id="3" name="Рисунок 3" descr="base_32871_10627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32871_10627_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219" w:rsidRPr="00527745" w:rsidRDefault="00123219" w:rsidP="00123219">
      <w:pPr>
        <w:ind w:firstLine="567"/>
        <w:jc w:val="both"/>
      </w:pPr>
      <w:r w:rsidRPr="00ED0B5B">
        <w:rPr>
          <w:noProof/>
        </w:rPr>
        <w:drawing>
          <wp:inline distT="0" distB="0" distL="0" distR="0">
            <wp:extent cx="146685" cy="250190"/>
            <wp:effectExtent l="0" t="0" r="5715" b="0"/>
            <wp:docPr id="2" name="Рисунок 2" descr="base_32871_10627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32871_10627_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 xml:space="preserve"> – затраты рабочего времени в часах, полученные на четвертом этапе, на выполнение каждого содержательного требования с учетом показателя масштаба и частоты;</w:t>
      </w:r>
    </w:p>
    <w:p w:rsidR="00123219" w:rsidRPr="00527745" w:rsidRDefault="00123219" w:rsidP="00123219">
      <w:pPr>
        <w:ind w:firstLine="567"/>
        <w:jc w:val="both"/>
      </w:pPr>
      <w:r w:rsidRPr="00527745">
        <w:t>w – средняя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123219" w:rsidRPr="00527745" w:rsidRDefault="00123219" w:rsidP="00123219">
      <w:pPr>
        <w:ind w:firstLine="567"/>
        <w:jc w:val="both"/>
      </w:pPr>
      <w:r w:rsidRPr="00ED0B5B">
        <w:rPr>
          <w:noProof/>
        </w:rPr>
        <w:drawing>
          <wp:inline distT="0" distB="0" distL="0" distR="0">
            <wp:extent cx="224155" cy="250190"/>
            <wp:effectExtent l="0" t="0" r="4445" b="0"/>
            <wp:docPr id="1" name="Рисунок 1" descr="base_32871_10627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32871_10627_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5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45">
        <w:t xml:space="preserve"> – стоимость приобретений, полученных на пятом этапе, необходимых для выполнения содержательного требования, с учетом показателя масштаба и частоты.</w:t>
      </w:r>
    </w:p>
    <w:p w:rsidR="00123219" w:rsidRDefault="00123219" w:rsidP="00123219">
      <w:pPr>
        <w:ind w:firstLine="567"/>
        <w:jc w:val="both"/>
      </w:pPr>
      <w:r w:rsidRPr="00527745">
        <w:t xml:space="preserve">На втором шаге рассчитывается сумма содержательных издержек по всем содержательным требованиям проекта </w:t>
      </w:r>
      <w:r>
        <w:t>муниципального нормативного правового</w:t>
      </w:r>
      <w:r w:rsidRPr="00527745">
        <w:t xml:space="preserve"> акта (</w:t>
      </w:r>
      <w:r>
        <w:t xml:space="preserve">действующего муниципального </w:t>
      </w:r>
      <w:r w:rsidRPr="00527745">
        <w:t>нормативного</w:t>
      </w:r>
      <w:r>
        <w:t xml:space="preserve"> правового</w:t>
      </w:r>
      <w:r w:rsidRPr="00527745">
        <w:t xml:space="preserve"> акта)</w:t>
      </w:r>
      <w:r>
        <w:t xml:space="preserve"> </w:t>
      </w:r>
      <w:r w:rsidRPr="00527745">
        <w:t>за год.</w:t>
      </w:r>
    </w:p>
    <w:p w:rsidR="004B5371" w:rsidRDefault="004B5371"/>
    <w:sectPr w:rsidR="004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19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3219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4594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9629-2489-4D3A-B054-7D378D4E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3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</cp:revision>
  <dcterms:created xsi:type="dcterms:W3CDTF">2018-07-19T05:20:00Z</dcterms:created>
  <dcterms:modified xsi:type="dcterms:W3CDTF">2018-07-19T05:21:00Z</dcterms:modified>
</cp:coreProperties>
</file>